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A729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138/2017 Z. z.</w:t>
      </w:r>
    </w:p>
    <w:p w14:paraId="5D30977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C2F028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280B02A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Zákon</w:t>
      </w:r>
      <w:proofErr w:type="spellEnd"/>
    </w:p>
    <w:p w14:paraId="3DF2FACC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O FONDE NA PODPORU KULTÚRY NÁRODNOSTNÝCH MENŠÍN</w:t>
      </w:r>
    </w:p>
    <w:p w14:paraId="2D8C3F26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proofErr w:type="gram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zákonov</w:t>
      </w:r>
      <w:proofErr w:type="spellEnd"/>
    </w:p>
    <w:p w14:paraId="785F62E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E6135E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25E4CAA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 10. mája 2017</w:t>
      </w:r>
    </w:p>
    <w:p w14:paraId="26AFFCF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8873B4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6FB216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6B3D9F9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177/2018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septembra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</w:t>
      </w:r>
    </w:p>
    <w:p w14:paraId="361F897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211/2018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septembra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</w:t>
      </w:r>
    </w:p>
    <w:p w14:paraId="72EA7E8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211/2018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septembra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</w:t>
      </w:r>
    </w:p>
    <w:p w14:paraId="29045C5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177/2018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2019</w:t>
      </w:r>
    </w:p>
    <w:p w14:paraId="2756DC5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211/2018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2019</w:t>
      </w:r>
    </w:p>
    <w:p w14:paraId="4A5060B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221/2019 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septembra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2019</w:t>
      </w:r>
    </w:p>
    <w:p w14:paraId="089BBF5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221/2019 Z. z.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1.decembra 2019</w:t>
      </w:r>
    </w:p>
    <w:p w14:paraId="5A07A16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129/2020 Z. z. 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21. mája 2020</w:t>
      </w:r>
    </w:p>
    <w:p w14:paraId="71C6D1F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372C93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59F7D4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uzniesla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229615B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2CAD54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A65FF67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36"/>
          <w:szCs w:val="36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>Čl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>. I</w:t>
      </w:r>
    </w:p>
    <w:p w14:paraId="66040C2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453FA8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</w:t>
      </w:r>
    </w:p>
    <w:p w14:paraId="64BFFC1D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Fond na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menšín</w:t>
      </w:r>
      <w:proofErr w:type="spellEnd"/>
    </w:p>
    <w:p w14:paraId="3437DF4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Zriaďuje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inštitúcia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</w:p>
    <w:p w14:paraId="5E7D21C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zachovania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ochrany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rozvoja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identity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hodnôt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1857C4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výchovy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vzdelávania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právam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osôb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patriacich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8FC7C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interkultúrneho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dialógu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porozumenia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občanmi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občanmi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patriacimi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etnickým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skupinám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interkultúrny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dialóg a 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porozumenie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 .</w:t>
      </w:r>
    </w:p>
    <w:p w14:paraId="0940AE1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sídlom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Bratislave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1627B5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A22CF8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</w:t>
      </w:r>
    </w:p>
    <w:p w14:paraId="747FA7AF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fondu</w:t>
      </w:r>
      <w:proofErr w:type="spellEnd"/>
    </w:p>
    <w:p w14:paraId="6050CF4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tieto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172C7D1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cieľom</w:t>
      </w:r>
      <w:proofErr w:type="spellEnd"/>
    </w:p>
    <w:p w14:paraId="20C7618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vzniku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takýchto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</w:t>
      </w:r>
    </w:p>
    <w:p w14:paraId="1BF4414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šírenia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prezentácie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výsledkov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takýchto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zahraničí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479B3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monitoruje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BDEE31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evidenciu</w:t>
      </w:r>
      <w:proofErr w:type="spellEnd"/>
    </w:p>
    <w:p w14:paraId="40BAA35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),</w:t>
      </w:r>
    </w:p>
    <w:p w14:paraId="53197DC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2.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 a</w:t>
      </w:r>
    </w:p>
    <w:p w14:paraId="13FBED9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),</w:t>
      </w:r>
    </w:p>
    <w:p w14:paraId="42D6F56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spolupracuje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územnej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samosprávy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verejnoprávnymi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inštitúciami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vytvárania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priaznivých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rozvoj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a),</w:t>
      </w:r>
    </w:p>
    <w:p w14:paraId="4B913CB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spolupracuje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partnerskými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zahraničí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DD24F0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vymáha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pohľadávky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vyplývajúce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zmlúv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uzatvorených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82FB67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9788A30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3</w:t>
      </w:r>
    </w:p>
    <w:p w14:paraId="305A36CB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Orgány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fondu</w:t>
      </w:r>
      <w:proofErr w:type="spellEnd"/>
    </w:p>
    <w:p w14:paraId="0FF4DE0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</w:p>
    <w:p w14:paraId="3FF70CB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3B05FB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055AE8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21534D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29977C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4959676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4</w:t>
      </w:r>
    </w:p>
    <w:p w14:paraId="59BA2666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Riaditeľ</w:t>
      </w:r>
      <w:proofErr w:type="spellEnd"/>
    </w:p>
    <w:p w14:paraId="556008B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neprítomnosti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poverený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zástupca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03B69B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</w:p>
    <w:p w14:paraId="62544AE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6CA788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kritériá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hodnotenia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07FA3F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BC3414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počas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CAB4FB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31E68B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organizačnú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administratívno-technickú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 ,</w:t>
      </w:r>
    </w:p>
    <w:p w14:paraId="50A4F04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štatútu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organizačného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rokovacieho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rokovacieho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vnútorných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okrem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rokovacieho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2A3AB6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overenú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audítorom,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1)</w:t>
      </w:r>
    </w:p>
    <w:p w14:paraId="3BF3DB7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vypracovanie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schém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53876C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j)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rád,</w:t>
      </w:r>
    </w:p>
    <w:p w14:paraId="32304E8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241ACB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2)</w:t>
      </w:r>
    </w:p>
    <w:p w14:paraId="2C8CE01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m)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odpísaní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pohľadávok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odpustení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dlhu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2)</w:t>
      </w:r>
    </w:p>
    <w:p w14:paraId="337DE83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0425B4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o)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5,</w:t>
      </w:r>
    </w:p>
    <w:p w14:paraId="0CB374D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p)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otázkach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nepatria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B96976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zúčastňovať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zasadnutiach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B3C1CB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nezlučiteľná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funkciou</w:t>
      </w:r>
      <w:proofErr w:type="spellEnd"/>
    </w:p>
    <w:p w14:paraId="0C2640C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prezidenta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2907AF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poslanca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BC96F8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9C8712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tajomníka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9AA8AD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generálneho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tajomníka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služobného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E9C21A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ústredného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zástupcu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6C3160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Najvyššieho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531AE3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samosprávneho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kraja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DF638F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primátora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starostu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9F36D2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j) prokurátora,</w:t>
      </w:r>
    </w:p>
    <w:p w14:paraId="0AAEADA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sudcu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A48ED0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poradného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ABB28E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m)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umeleckých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fondov,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3)</w:t>
      </w:r>
    </w:p>
    <w:p w14:paraId="491DC2B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Audiovizuálneho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4)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umenia,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5)</w:t>
      </w:r>
    </w:p>
    <w:p w14:paraId="15C3F6A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o)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9D9DDB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„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“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61AF9F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vystupovať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prospech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3F5303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6)</w:t>
      </w:r>
    </w:p>
    <w:p w14:paraId="50473E2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ešte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zamestnanec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828B41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neobsadené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miesto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C91A03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9BCFB61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5</w:t>
      </w:r>
    </w:p>
    <w:p w14:paraId="1204B36C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Predpoklady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riaditeľa</w:t>
      </w:r>
      <w:proofErr w:type="spellEnd"/>
    </w:p>
    <w:p w14:paraId="5964016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</w:p>
    <w:p w14:paraId="6C9613E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487203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EEBFC4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vysokoškolské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druhého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stupňa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E3B0EC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päťročnú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zameraním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problematiku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AB1FAD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päťročnú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riadiacej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8F03C0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f),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túto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prestane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33BCE6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spĺňa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predpoklady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predpisom,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6)</w:t>
      </w:r>
    </w:p>
    <w:p w14:paraId="186A3AF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úspešne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absolvovala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E6588C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nepovažuje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ten,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právoplatne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odsúdený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úmyselný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preukazuje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cudzinca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občanom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starším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zaradenie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583DDD3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zaradenie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uchádzač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prikladá</w:t>
      </w:r>
      <w:proofErr w:type="spellEnd"/>
    </w:p>
    <w:p w14:paraId="585D52E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projekt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rozvoja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F42A81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cudzinca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občanom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2, </w:t>
      </w:r>
    </w:p>
    <w:p w14:paraId="0B38107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štruktúrovaný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životopis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0DD6ED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najvyššom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dosiahnutom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9F2095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preukazuje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d)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riadiacej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e),</w:t>
      </w:r>
    </w:p>
    <w:p w14:paraId="655E3E2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prestane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túto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B825B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štyri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Tá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istá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sebe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2F4336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D646E8C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6</w:t>
      </w:r>
    </w:p>
    <w:p w14:paraId="40F1EE4B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Skončenie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výkonu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riaditeľa</w:t>
      </w:r>
      <w:proofErr w:type="spellEnd"/>
    </w:p>
    <w:p w14:paraId="1C4F805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</w:p>
    <w:p w14:paraId="30FBACA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21B3FB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ministrovi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A68EA9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5FB52E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smrťou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mŕtveho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5A94C4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</w:p>
    <w:p w14:paraId="2AE0152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právoplatným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obmedzená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197B54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právoplatne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odsúdený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úmyselný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41275A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týkajúcich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inštitúcie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3377FA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nezlučiteľná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napriek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čestnému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takúto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329CFA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</w:p>
    <w:p w14:paraId="261163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sebe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422701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obmedzenia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zamestnanca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8)</w:t>
      </w:r>
    </w:p>
    <w:p w14:paraId="3832758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súvisiacich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funkcie.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9)</w:t>
      </w:r>
    </w:p>
    <w:p w14:paraId="02D4643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9162C9D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7</w:t>
      </w:r>
    </w:p>
    <w:p w14:paraId="52BA3C35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rady</w:t>
      </w:r>
      <w:proofErr w:type="spellEnd"/>
    </w:p>
    <w:p w14:paraId="4DA49E6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posudzujú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odporúčajú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konkrétny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projekt.</w:t>
      </w:r>
    </w:p>
    <w:p w14:paraId="3F5EF8B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viazané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objemom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disponibilných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pripadajúcim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22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2.</w:t>
      </w:r>
    </w:p>
    <w:p w14:paraId="3978700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zameranie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spolupracujú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príprave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výziev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C6DA2F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zriaďujú</w:t>
      </w:r>
      <w:proofErr w:type="spellEnd"/>
    </w:p>
    <w:p w14:paraId="7510C37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bulharskej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chorvátskej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maďarskej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moravskej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nemeckej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poľskej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rómskej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rusínskej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ruskej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srbskej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ukrajinskej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židovskej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F27130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interkultúrneho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dialógu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porozumenia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912D8B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zriaďujú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zriadi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nerozhodne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inak.</w:t>
      </w:r>
    </w:p>
    <w:p w14:paraId="23112CD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 a 10.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4F202B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nenavrhne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dostatočný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6,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zvyšných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Rovnaký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postup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uplatní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vtedy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navrhne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nespĺňa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8 ods.1.</w:t>
      </w:r>
    </w:p>
    <w:p w14:paraId="335EA1F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považuje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sídlom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území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preukázateľne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a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prihlási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prihláške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0791E4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9,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viacerých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uviesť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 </w:t>
      </w:r>
    </w:p>
    <w:p w14:paraId="518B92E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patrí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28FDDE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potvrdzuje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záujem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podieľať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výbere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voľbe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rád.</w:t>
      </w:r>
    </w:p>
    <w:p w14:paraId="1441621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prihlásili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8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týchto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2B5C6DB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kultúrno-osvetová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vzdelávacia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výskum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3E9ADC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literárna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nakladateľská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vydavateľská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6BD13F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divadelné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hudobné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tanečné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výtvarné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audiovizuálne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EB3048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hlasov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prítomných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zriadi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spoločná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spoločnej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9.</w:t>
      </w:r>
    </w:p>
    <w:p w14:paraId="54C1922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tvoria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rozdelení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splnomocnia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tvoriace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prítomných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prioritách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prijatie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vyžaduje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11187B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postup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postupy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volieb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podrobnosti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rád.</w:t>
      </w:r>
    </w:p>
    <w:p w14:paraId="38912AC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neprítomnosti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poverený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422512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3904EF7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8</w:t>
      </w:r>
    </w:p>
    <w:p w14:paraId="72320EA1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rade</w:t>
      </w:r>
      <w:proofErr w:type="spellEnd"/>
    </w:p>
    <w:p w14:paraId="0568197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</w:p>
    <w:p w14:paraId="05A5E8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trojročnú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8D4B95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3D7CFD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94E627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</w:p>
    <w:p w14:paraId="3F257CB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trojročnú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 ods.1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c),</w:t>
      </w:r>
    </w:p>
    <w:p w14:paraId="1C2EB63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710991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2CD198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a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</w:p>
    <w:p w14:paraId="715885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obsahujúce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vyžiadanie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C05F08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preukazujúci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AE8C53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bezodkladne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zašle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podobe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prostredníctvom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komunikácie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Generálnej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prokuratúre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0EE2403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vystupovať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prospech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8C6868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Tá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istá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opakovane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začína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zániku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mandátu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miesto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322B46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nezastupiteľné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56F3CA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vzťahu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10)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776310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cestovné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náhrady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11)</w:t>
      </w:r>
    </w:p>
    <w:p w14:paraId="5C439E0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nezlučiteľná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9124D2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(11)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posudzovania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vylúčený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blízkou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E25DBF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vnútornými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nestranne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zdržať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došlo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uprednostneniu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4D7502B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(13)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</w:p>
    <w:p w14:paraId="1CF66B8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488826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3FF40C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zaniká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2659F5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smrťou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mŕtveho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F9F70C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prestane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spĺňať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kritériá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zákaz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5.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menovaného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preukázateľne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dokumentmi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vyžiadať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menovaného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menovaného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druhej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7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2B557E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d),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zvyšok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nahradil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51FA372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7236F4D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9</w:t>
      </w:r>
    </w:p>
    <w:p w14:paraId="7571880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Dozorná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komisia</w:t>
      </w:r>
      <w:proofErr w:type="spellEnd"/>
    </w:p>
    <w:p w14:paraId="1F7D6BF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</w:p>
    <w:p w14:paraId="29A28A9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dohliada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dodržiavanie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predpisov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12)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vnútorných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BAA8EE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rozdeľovania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zdrojov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9381C0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tieto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8987E5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D3430E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odpísanie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pohľadávok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odpustenie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dlhu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645624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oboznamuje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výsledkami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zisteniami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ED79BB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odstránenie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nedostatkov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07D096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7DF8DE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654126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nahliadať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ekonomických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súvisiacich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takéto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bezodkladne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252571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BE452F1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10</w:t>
      </w:r>
    </w:p>
    <w:p w14:paraId="414EC0D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Zloženie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komisii</w:t>
      </w:r>
      <w:proofErr w:type="spellEnd"/>
    </w:p>
    <w:p w14:paraId="0549CBE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B20532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2222F12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18989D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ľudské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rodovú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rovnosť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4797A1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splnomocnenca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</w:t>
      </w:r>
    </w:p>
    <w:p w14:paraId="434E53D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EF27C5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</w:p>
    <w:p w14:paraId="2799531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015CE1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bezúhonná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F8FD9F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vysokoškolské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druhého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stupňa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študijnom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ekonómia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manažment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</w:t>
      </w:r>
    </w:p>
    <w:p w14:paraId="6CA9A68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päťročnú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prax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ekonómie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manažmentu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365918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nezlučiteľná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A8CF33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nestranne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zdržať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došlo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uprednostneniu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C5A37A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nezastupiteľné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C16CD6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neprítomnosti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poverený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1D1BA8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patrí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odmena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pätiny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priemernej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mzdy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hospodárstve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Štatistickým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5ECF6E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cestovné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náhrady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11)</w:t>
      </w:r>
    </w:p>
    <w:p w14:paraId="4EC7CD9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vyžiadanie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trestov.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12a)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bezodkladne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zašle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podobe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prostredníctvom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elektronickej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komunikácie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Generálnej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prokuratúre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výpisu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6225E42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2AE9A03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11</w:t>
      </w:r>
    </w:p>
    <w:p w14:paraId="5F5749D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komisie</w:t>
      </w:r>
      <w:proofErr w:type="spellEnd"/>
    </w:p>
    <w:p w14:paraId="32B9AF4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štyri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Tá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istá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sebe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8850FC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začína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zániku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mandátu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miesto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3BB23D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D5B44DF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12</w:t>
      </w:r>
    </w:p>
    <w:p w14:paraId="316E27AF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Skončenie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členstva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komisii</w:t>
      </w:r>
      <w:proofErr w:type="spellEnd"/>
    </w:p>
    <w:p w14:paraId="69F5240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</w:p>
    <w:p w14:paraId="7C7467B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8BB369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zaniká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ministrovi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129FC5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zaniká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2C3A73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smrťou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mŕtveho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6F2FFF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</w:p>
    <w:p w14:paraId="73525A6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právoplatne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odsúdený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úmyselný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964148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právoplatným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obmedzená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spôsobilosť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úkony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,</w:t>
      </w:r>
      <w:proofErr w:type="gramEnd"/>
    </w:p>
    <w:p w14:paraId="4F74BF3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sebe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</w:p>
    <w:p w14:paraId="4CD9371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4 a 5.</w:t>
      </w:r>
    </w:p>
    <w:p w14:paraId="442436F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C5D7CF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990FF40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13</w:t>
      </w:r>
    </w:p>
    <w:p w14:paraId="7A9D386D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rada</w:t>
      </w:r>
      <w:proofErr w:type="spellEnd"/>
    </w:p>
    <w:p w14:paraId="7C8AA94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</w:p>
    <w:p w14:paraId="6E8DEAF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spôsob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kritériá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hodnotenia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57C6A5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108464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štatút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57CCDE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organizačný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,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vnútorné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kompetencie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FF34AD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overenú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audítorom,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1)</w:t>
      </w:r>
    </w:p>
    <w:p w14:paraId="238BF27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;</w:t>
      </w:r>
    </w:p>
    <w:p w14:paraId="4AE205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vyjadruje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menovaného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5BF0DE7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vyžaduje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hlasov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zvolila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vymenúva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nezastupiteľné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293502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875ADC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vzťahu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10)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cestovné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náhrady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11)</w:t>
      </w:r>
    </w:p>
    <w:p w14:paraId="4597553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Podrobnosti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upravuje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rokovací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schvaľuje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9AD479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začína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zániku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mandátu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miesto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79F7A0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</w:p>
    <w:p w14:paraId="6C19AED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0556CC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,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ministrovi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ministrom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83C210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zánikom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5CC15F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pracovnoprávneho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zamestnanca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17340F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D90A30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smrťou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mŕtveho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0CAB56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neprítomnosti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poverený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B9D3DC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zvolila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nezúčastnil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dvoch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sebe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zasadnutiach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udania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A57D89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druhej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vymenovaný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štvrtej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zvyšok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nahradil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371C851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Podrobnosti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voľbe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C2A058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3235E97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14</w:t>
      </w:r>
    </w:p>
    <w:p w14:paraId="0EF0B06F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Kancelária</w:t>
      </w:r>
      <w:proofErr w:type="spellEnd"/>
    </w:p>
    <w:p w14:paraId="42AD432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spojené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organizačným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personálnym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technickým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BF6FFA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preskúmava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úplnosť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spĺňajú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8,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posudzovanie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nespĺňajú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požiadavky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8,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9.</w:t>
      </w:r>
    </w:p>
    <w:p w14:paraId="1DBB39A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29FC982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15</w:t>
      </w:r>
    </w:p>
    <w:p w14:paraId="37025426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Poskytovanie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prostriedkov</w:t>
      </w:r>
      <w:proofErr w:type="spellEnd"/>
    </w:p>
    <w:p w14:paraId="6F62FA1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týchto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432023D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kultúrno-osvetová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vzdelávacia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30C861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edičná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27FF72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aktivity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divadiel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umeleckých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súborov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inštitúcií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23A00E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umelecká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tvorba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641F81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života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histórie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BD8219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záujmová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využitie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D8E5CE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zahraničná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prezentácia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98ECDB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interkultúrneho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dialógu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porozumenia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677413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identifikácie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spoznávania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spoločných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hodnôt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tradícií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80EDE3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j)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výmenných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programov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pobytov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spoločných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vzdelávacích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podujatí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vedomostných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umeleckých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súťaží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mládež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D6F8CA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ochrana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spracovanie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digitalizácia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dedičstva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B7447C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kreatívny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priemysel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6F3487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m)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rozvoja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E307BB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(2)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formou</w:t>
      </w:r>
      <w:proofErr w:type="spellEnd"/>
    </w:p>
    <w:p w14:paraId="7505E31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</w:p>
    <w:p w14:paraId="7DE575C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štipendia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6E4CC9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štipendia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osobám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Štipendium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účelovo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viazaná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nenávratná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vypláca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jednorazovo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opakovane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počas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uzavretou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19.</w:t>
      </w:r>
    </w:p>
    <w:p w14:paraId="72892FE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3FF2DC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</w:t>
      </w:r>
    </w:p>
    <w:p w14:paraId="3F8BC6C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krytie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osôb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056269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úhradu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záväzkov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414898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refundáciu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výdavkov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uhradených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2ED3CA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splácanie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úverov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pôžičiek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úrokov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prijatých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úverov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pôžičiek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23C1A5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požaduje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spolufinancovanie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vlastných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zdrojov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zdrojov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spolufinancovania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rámci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3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konkrétne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0918DF5" w14:textId="77777777" w:rsid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úplná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odporúčania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</w:t>
      </w:r>
      <w:proofErr w:type="spellEnd"/>
    </w:p>
    <w:p w14:paraId="6730F842" w14:textId="6FDD1C3F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konkrétnu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odporučila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pravidlami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13)</w:t>
      </w:r>
    </w:p>
    <w:p w14:paraId="5CB0EE8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neposkytnutí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konkrétnu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neodporučila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pravidlami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13)</w:t>
      </w:r>
    </w:p>
    <w:p w14:paraId="0ABC19E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opätovné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prerokovanie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existujú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odôvodnené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pochybnosti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posúdenia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prerozdelenie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§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naplnilo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13.</w:t>
      </w:r>
    </w:p>
    <w:p w14:paraId="6D3B3AE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opätovné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prerokovanie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zrušení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skutočnosti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a). </w:t>
      </w:r>
    </w:p>
    <w:p w14:paraId="144F139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webovom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sídle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§ 23;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dôvod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odvolať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8AF953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vypracuje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19.</w:t>
      </w:r>
    </w:p>
    <w:p w14:paraId="42FD625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0DB34069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16</w:t>
      </w:r>
    </w:p>
    <w:p w14:paraId="30BABF95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Žiadateľ</w:t>
      </w:r>
      <w:proofErr w:type="spellEnd"/>
    </w:p>
    <w:p w14:paraId="07547CE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dovŕšila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predmetom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aktivít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špecifikovaných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1.</w:t>
      </w:r>
    </w:p>
    <w:p w14:paraId="4F47EE6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</w:p>
    <w:p w14:paraId="15929CE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štatistickom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zisťovaní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zákona,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14)</w:t>
      </w:r>
    </w:p>
    <w:p w14:paraId="3499DA1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konkurzné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konkurze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reštrukturalizácii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nebol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zamietnutý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konkurzu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nedostatok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majetku,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16)</w:t>
      </w:r>
    </w:p>
    <w:p w14:paraId="0D50FA4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likvidácii,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17)</w:t>
      </w:r>
    </w:p>
    <w:p w14:paraId="769E3FA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exekúcia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rozhodnutia,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18)</w:t>
      </w:r>
    </w:p>
    <w:p w14:paraId="2F77AC23" w14:textId="139B8FBD" w:rsid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vysporiadané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Audiovizuálneho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C33926F" w14:textId="022A652A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neporušil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zákaz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nelegálneho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zamestnávania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19)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-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podnikateľ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1857E7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evidované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nedoplatky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daňovému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colnému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evidované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nedoplatky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sociálne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poistenie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zdravotná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poisťovňa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neeviduje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pohľadávky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splatnosti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predpisov,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19a)</w:t>
      </w:r>
    </w:p>
    <w:p w14:paraId="0950B84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8B94B1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19 ods.10,</w:t>
      </w:r>
    </w:p>
    <w:p w14:paraId="7783658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j)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zapísaný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partnerov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sektora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,22)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zapisovať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partnerov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sektora.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22)</w:t>
      </w:r>
    </w:p>
    <w:p w14:paraId="740BCB2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preukazuje</w:t>
      </w:r>
      <w:proofErr w:type="spellEnd"/>
    </w:p>
    <w:p w14:paraId="037D843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spĺňa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és e),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súčasťou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3A13C33" w14:textId="01450A5F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§ 19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ide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d).</w:t>
      </w:r>
    </w:p>
    <w:p w14:paraId="4B8F4BD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previesť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35E473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</w:p>
    <w:p w14:paraId="62DF9C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blízka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783637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riadiacich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štatutárnym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blízka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68CAAD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príspevková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zriaďovateľskej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D82102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1B2AE8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17</w:t>
      </w:r>
    </w:p>
    <w:p w14:paraId="5EDDCB9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Podávanie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žiadostí</w:t>
      </w:r>
      <w:proofErr w:type="spellEnd"/>
    </w:p>
    <w:p w14:paraId="7DD7CD7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Formulár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zverejňuje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webovom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sídle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AF36E1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</w:t>
      </w:r>
    </w:p>
    <w:p w14:paraId="47D2F9A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3C0C70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celkový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kalkulácie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nákladov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5A009F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subjektivite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nezapisuje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 </w:t>
      </w:r>
    </w:p>
    <w:p w14:paraId="37AB524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6,</w:t>
      </w:r>
    </w:p>
    <w:p w14:paraId="42811A5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poplatku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spracovanie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18,</w:t>
      </w:r>
    </w:p>
    <w:p w14:paraId="6DDBF7D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posúdenie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špecifikuje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AC0899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c)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originál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osvedčenú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kópiu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nenastali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uviesť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odkaz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nastala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priložiť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najbližšej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376C2C0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;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neplatí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vyhotovené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jazyku.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26)</w:t>
      </w:r>
    </w:p>
    <w:p w14:paraId="4BE1897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termínoch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špecifikuje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podávanie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66294C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podieľa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viacero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osôb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projekt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splnomocnená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zúčastnenými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Splnomocnenie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musí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osvedčené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EF2A99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štipendium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a) a f).</w:t>
      </w:r>
    </w:p>
    <w:p w14:paraId="2E6156D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skontroluje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podal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16,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podaná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vyplnená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Súčasne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preskúma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úplnosť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b).</w:t>
      </w:r>
    </w:p>
    <w:p w14:paraId="674CF3B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vyplnená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neobsahuje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nedostatky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vyzve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opravu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lehote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kratšia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desať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opravu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E2E47C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podal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vyplnená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neobsahuje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prílohy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nedostatky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nedoplnil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neopravil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dodatočnej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lehote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vyradí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rozhodovacieho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procesu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túto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skutočnosť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zbytočného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odkladu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oznámi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Rovnako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postupuje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vtedy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predloženého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zásadami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b).</w:t>
      </w:r>
    </w:p>
    <w:p w14:paraId="2084CC7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spĺňa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požiadavky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8, postúpi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kancelária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posúdenie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spolu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hodnotením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1A531B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9715209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18</w:t>
      </w:r>
    </w:p>
    <w:p w14:paraId="6B64F636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Administratívny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poplatok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spracovanie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žiadosti</w:t>
      </w:r>
      <w:proofErr w:type="spellEnd"/>
    </w:p>
    <w:p w14:paraId="1B4678B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spracovanie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forme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poplatok.</w:t>
      </w:r>
    </w:p>
    <w:p w14:paraId="7992E61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poplatok je 0,1 %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požadovaných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1 000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390FA3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BDCA48B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19</w:t>
      </w:r>
    </w:p>
    <w:p w14:paraId="1AA12CAF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Zmluva</w:t>
      </w:r>
      <w:proofErr w:type="spellEnd"/>
    </w:p>
    <w:p w14:paraId="343BF44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uzavretej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B1795F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zaväzuje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poskytnúť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zaväzuje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tieto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súlade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hodnoverne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preukázať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2E22CA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obsahuje</w:t>
      </w:r>
      <w:proofErr w:type="spellEnd"/>
    </w:p>
    <w:p w14:paraId="49D8EF5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identifikačné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strán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262DE8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predmet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45FFDFE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43D41E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názov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3D15784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BB5362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1EC677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54B0C1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7B1B948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dohodnuté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náležitosti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súvisiace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657CFEF" w14:textId="0D15C7C7" w:rsid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pracovných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dňa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náležitostí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vyhotovenie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60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neprijme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zaniká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4F626C8" w14:textId="1F6AFC25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dodatkami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výhradami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obmedzeniami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považuje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takéto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prijatie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prijatí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zamietnutí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dodatky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výhrady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obmedzenia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týkajúce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náležitostí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e).</w:t>
      </w:r>
    </w:p>
    <w:p w14:paraId="23429735" w14:textId="1B7DE6C3" w:rsid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právnickou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–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podnikateľom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podpisom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potvrdenie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Centrálneho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exekúcií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voči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exekučné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staršie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93B32B6" w14:textId="42D5E86E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Uzavretím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F1553D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výlučne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03E7C9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priložiť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</w:p>
    <w:p w14:paraId="283F18F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doklady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7AD2FF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podrobne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popisujúcu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etapy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A16031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informáciu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predpokladov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uviedol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6980E2C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vlastné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zhodnotenie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prínosu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088648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</w:p>
    <w:p w14:paraId="5B84608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dohodnutým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c),</w:t>
      </w:r>
    </w:p>
    <w:p w14:paraId="0078400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nepoužil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sčasti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financovanie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d).</w:t>
      </w:r>
    </w:p>
    <w:p w14:paraId="203D721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(11)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zistenia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vrátiť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realizácie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projektu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04D8CA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pokutu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1 %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nepredloženie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lehote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lehote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omeškaní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predložením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vyúčtovania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šesť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ukončený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omeškania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šiestom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pokutu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A19DAE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penále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0,01 %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zaplatiť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penále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0,01 %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zadržaných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deň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zadržania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uplynutí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lehoty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11.</w:t>
      </w:r>
    </w:p>
    <w:p w14:paraId="7CEF349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Peňažné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platobnom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banke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pobočke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zahraničnej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boli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nepodliehajú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exekúcii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Hnuteľný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obstaraný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nepodlieha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exekúcii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FC0936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(15)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u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dodržania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uvedených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9E4235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02CDF1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20</w:t>
      </w:r>
    </w:p>
    <w:p w14:paraId="3476E2A0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Financovanie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hospodárenie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fondu</w:t>
      </w:r>
      <w:proofErr w:type="spellEnd"/>
    </w:p>
    <w:p w14:paraId="4FE0DE3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tvoria</w:t>
      </w:r>
      <w:proofErr w:type="spellEnd"/>
    </w:p>
    <w:p w14:paraId="00BA499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21,</w:t>
      </w:r>
    </w:p>
    <w:p w14:paraId="05A4E1C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sankcie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21760ED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poplatky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vyberané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18,</w:t>
      </w:r>
    </w:p>
    <w:p w14:paraId="4924565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dary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dobrovoľné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1211D27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vkladov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banke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pobočke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zahraničnej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banky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50C3E28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vratky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nepoužitých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neoprávnene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5D5C02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438E4E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pripísaním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považujú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26a)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vyčerpané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5B2DBE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samostatnom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pokladnici.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27)</w:t>
      </w:r>
    </w:p>
    <w:p w14:paraId="79ABAA6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používaní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zachovávať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efektívnosť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nesmú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prospech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strany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hnutia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ani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prospech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uchádzača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volenú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politickú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funkciu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9B4F7B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zostavuje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výdavkov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kalendárny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nepoužije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nevyčerpaný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zostatok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E8F768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95 %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a g)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0C3E7F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vlastnú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prevádzku</w:t>
      </w:r>
      <w:proofErr w:type="spellEnd"/>
    </w:p>
    <w:p w14:paraId="16A712C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5 %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celkovej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a) a g),</w:t>
      </w:r>
    </w:p>
    <w:p w14:paraId="22871AA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e).</w:t>
      </w:r>
    </w:p>
    <w:p w14:paraId="341751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povinný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príjmov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f)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D955F3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účtovníctvo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28)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overené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audítorom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29)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musia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zverejnené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konca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štvrtého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audítora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závierok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30)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konca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štvrtého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mesiaca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nasledujúceho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skončení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zostavuje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výboru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671AB3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(10)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Výročná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obsahuje</w:t>
      </w:r>
      <w:proofErr w:type="spellEnd"/>
    </w:p>
    <w:p w14:paraId="31C1999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prehľad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vyhodnotenie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týmto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najmä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 a),</w:t>
      </w:r>
    </w:p>
    <w:p w14:paraId="6B2F374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prehľad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D68D32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zhodnotenie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základných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obsiahnutých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979146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stanovisko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závierke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k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výsledku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,</w:t>
      </w:r>
    </w:p>
    <w:p w14:paraId="050F69DD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B5D0599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(11)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l) a v § 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 a 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neustanovuje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inak.</w:t>
      </w:r>
    </w:p>
    <w:p w14:paraId="7AAC8EE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hospodárenia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vykonávajú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predpisov.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31)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penále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pokutu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porušenie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disciplíny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prostriedkami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ukladá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vymáha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vládneho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auditu.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31a)</w:t>
      </w:r>
    </w:p>
    <w:p w14:paraId="48F3295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3856DA2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21</w:t>
      </w:r>
    </w:p>
    <w:p w14:paraId="20CBABD5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fondu</w:t>
      </w:r>
      <w:proofErr w:type="spellEnd"/>
    </w:p>
    <w:p w14:paraId="408BC4E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rámci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limitov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obdobie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najmenej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8 000 000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D0D801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vyhradiť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najviac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20 % z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bude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prednostne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priorít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9F72E8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odvedie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každoročne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bezhotovostne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AC17BF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BBC802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22</w:t>
      </w:r>
    </w:p>
    <w:p w14:paraId="798E1DF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Rozdelenie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podpornú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činnosť</w:t>
      </w:r>
      <w:proofErr w:type="spellEnd"/>
    </w:p>
    <w:p w14:paraId="5C20112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Sumu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20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a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rozdelí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medzi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takomto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pomere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:</w:t>
      </w:r>
    </w:p>
    <w:p w14:paraId="553ED43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maďarskej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53 %,</w:t>
      </w:r>
    </w:p>
    <w:p w14:paraId="66603405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b)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rómskej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22,4 %,</w:t>
      </w:r>
    </w:p>
    <w:p w14:paraId="13B88F3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c)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rusínskej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6,4 %,</w:t>
      </w:r>
    </w:p>
    <w:p w14:paraId="2A5A097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d)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bulharskej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1 %,</w:t>
      </w:r>
    </w:p>
    <w:p w14:paraId="5B29083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e)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českej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3,7 %,</w:t>
      </w:r>
    </w:p>
    <w:p w14:paraId="502C3F5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f)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chorvátskej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1 %,</w:t>
      </w:r>
    </w:p>
    <w:p w14:paraId="4C86593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g)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moravskej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1,4 %,</w:t>
      </w:r>
    </w:p>
    <w:p w14:paraId="5918D1A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h)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nemeckej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1,8 %,</w:t>
      </w:r>
    </w:p>
    <w:p w14:paraId="282F71CC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i)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poľskej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1,4 %,</w:t>
      </w:r>
    </w:p>
    <w:p w14:paraId="3F2D643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j)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ruskej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1,1 %,</w:t>
      </w:r>
    </w:p>
    <w:p w14:paraId="4B6997C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srbskej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0,7 %,</w:t>
      </w:r>
    </w:p>
    <w:p w14:paraId="2CF056F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l)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ukrajinskej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2 %,</w:t>
      </w:r>
    </w:p>
    <w:p w14:paraId="1B44A82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m)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židovskej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1,1 % a</w:t>
      </w:r>
    </w:p>
    <w:p w14:paraId="33F4C8E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n)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interkultúrneho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dialógu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porozumenia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3 %.</w:t>
      </w:r>
    </w:p>
    <w:p w14:paraId="50CAFCE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zriadená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prislúcha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objem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patriacich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tejto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príslušnú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menšinu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zriadené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rozdelení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celkového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objemu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nadpolovičnou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väčšinou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hlasov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všetkých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predchádzajúcej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vety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neprijme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rozdelí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celkový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objem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každej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pripadne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tretina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6545D3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rozhodujú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svojho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výške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poskytnutých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objemu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prostriedkov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prináleží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 a 2.</w:t>
      </w:r>
    </w:p>
    <w:p w14:paraId="3D87FAA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4A73741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23</w:t>
      </w:r>
    </w:p>
    <w:p w14:paraId="3DFF6BA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Spracúvanie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osobných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údajov</w:t>
      </w:r>
      <w:proofErr w:type="spellEnd"/>
    </w:p>
    <w:p w14:paraId="0AD140C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evidencie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získavať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spracúvať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priezvisko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dátum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narodenia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adresa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trvalého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pobytu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číslo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platobného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ostatné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potrebné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úloh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cieľov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a 19.</w:t>
      </w:r>
    </w:p>
    <w:p w14:paraId="18AFEA9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(2) Fond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oprávnený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zverejňovať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fyzickej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je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alebo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prijímateľom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rozsahu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priezvisko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adresa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trvalého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pobytu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počas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jedného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FC76ED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získa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podliehajú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ochrane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predpisu;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32)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môže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spracúvať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len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účely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0F3C2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27058DB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Spoločné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prechodné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ustanovenia</w:t>
      </w:r>
      <w:proofErr w:type="spellEnd"/>
    </w:p>
    <w:p w14:paraId="5B0DC59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6116D4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24</w:t>
      </w:r>
    </w:p>
    <w:p w14:paraId="39B5A3F9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Spoločné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ustanovenia</w:t>
      </w:r>
      <w:proofErr w:type="spellEnd"/>
    </w:p>
    <w:p w14:paraId="086062F3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nevzťahuje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konaní,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33)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odsek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neustanovuje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inak.</w:t>
      </w:r>
    </w:p>
    <w:p w14:paraId="74C0AF6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doručovanie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písomností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tohto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primerane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použijú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ustanovenia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všeobecného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konaní.</w:t>
      </w:r>
      <w:r w:rsidRPr="00750551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34)</w:t>
      </w:r>
    </w:p>
    <w:p w14:paraId="5645669F" w14:textId="2B0D8930" w:rsid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Splnenie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podmienok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b), c), f), g) a j)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overuje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osobitného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predpisu</w:t>
      </w:r>
      <w:r w:rsidRPr="00750551">
        <w:rPr>
          <w:rFonts w:ascii="Arial" w:eastAsia="Times New Roman" w:hAnsi="Arial" w:cs="Arial"/>
          <w:color w:val="333333"/>
          <w:sz w:val="21"/>
          <w:szCs w:val="21"/>
          <w:vertAlign w:val="superscript"/>
          <w:lang w:eastAsia="hu-HU"/>
        </w:rPr>
        <w:t xml:space="preserve">35) </w:t>
      </w: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fond.</w:t>
      </w:r>
    </w:p>
    <w:p w14:paraId="627097E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F7EB3BC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25</w:t>
      </w:r>
    </w:p>
    <w:p w14:paraId="7AC20231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Prechodné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ustanovenia</w:t>
      </w:r>
      <w:proofErr w:type="spellEnd"/>
    </w:p>
    <w:p w14:paraId="7FDB1C44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(1) Fond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decembra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13D8505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Žiadosti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predkladajú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2018.</w:t>
      </w:r>
    </w:p>
    <w:p w14:paraId="6C8E17C1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prvýkrát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2018.</w:t>
      </w:r>
    </w:p>
    <w:p w14:paraId="22322946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(4)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zverejní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výzvu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18.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augusta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15.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októbra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vymenujú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októbra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7966141B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(5)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mimoriadny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príspevok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určený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zabezpečenie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prevádzky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5C1E3A0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vymenuje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dozornej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júla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0EA61AC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(7)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Zhromaždenia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organizácií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národnostných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menšín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predložia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riaditeľovi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návrhy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kandidátov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rád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6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30.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septembra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155F2402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Koordinačné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odborné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§ 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členov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31.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októbra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zvolá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zasadnutie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najneskôr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15.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novembra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Riaditeľ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prvom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zasadnutí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riadi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voľbu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predsedu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DF52C07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schváli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štatút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15.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decembra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2017.</w:t>
      </w:r>
    </w:p>
    <w:p w14:paraId="41A6F770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D6F56E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366E118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36"/>
          <w:szCs w:val="36"/>
          <w:lang w:eastAsia="hu-HU"/>
        </w:rPr>
      </w:pP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>Čl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36"/>
          <w:szCs w:val="36"/>
          <w:lang w:eastAsia="hu-HU"/>
        </w:rPr>
        <w:t>. VI</w:t>
      </w:r>
    </w:p>
    <w:p w14:paraId="4CD6407E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nadobúda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júla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okrem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II, III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bodov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6, 13 a 19,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ktoré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nadobúdajú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účinnosť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januára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2018.</w:t>
      </w:r>
    </w:p>
    <w:p w14:paraId="5274F578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BF9D24F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A06191B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Andrej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Kiska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v. r.</w:t>
      </w:r>
    </w:p>
    <w:p w14:paraId="06FE1D1E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Andrej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Danko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v. r.</w:t>
      </w:r>
    </w:p>
    <w:p w14:paraId="5DAFC87C" w14:textId="77777777" w:rsidR="00750551" w:rsidRPr="00750551" w:rsidRDefault="00750551" w:rsidP="00750551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Robert </w:t>
      </w:r>
      <w:proofErr w:type="spellStart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Fico</w:t>
      </w:r>
      <w:proofErr w:type="spellEnd"/>
      <w:r w:rsidRPr="00750551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 v. r.</w:t>
      </w:r>
    </w:p>
    <w:p w14:paraId="3BAB2CEA" w14:textId="77777777" w:rsidR="00750551" w:rsidRPr="00750551" w:rsidRDefault="00750551" w:rsidP="00750551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0E6EE1E" w14:textId="77777777" w:rsidR="00750551" w:rsidRPr="00750551" w:rsidRDefault="008E2226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pict w14:anchorId="6F125995">
          <v:rect id="_x0000_i1025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2649B7F6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1) § 19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431/2002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účtovníctve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52321A5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176/2004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nakladaní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majetkom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verejnoprávnych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inštitúcií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259/1993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lesníckej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komore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464/2002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FCEA98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3)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13/1993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umeleckých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649AFBA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4) §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516/2008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Audiovizuálnom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374/2013 Z. z.</w:t>
      </w:r>
    </w:p>
    <w:p w14:paraId="23E741B2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5) §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284/2014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Fonde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podporu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umenia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434/2010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poskytovaní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dotácií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pôsobnosti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Ministerstva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kultúry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79/2013 Z. z.</w:t>
      </w:r>
    </w:p>
    <w:p w14:paraId="79D01C4F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552/2003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výkone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záujme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FDAE9F3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7) § 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552/2003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C4DF4CE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7a) §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330/2007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91/2016 Z. z. </w:t>
      </w:r>
    </w:p>
    <w:p w14:paraId="65B56165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8) §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552/2003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7A66425E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Zákonník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552/2003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00D18D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10) § 223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228a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17DEFC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283/2002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cestovných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náhradách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763932E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176/2004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358/2015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úprave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vzťahov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oblasti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minimálnej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).</w:t>
      </w:r>
    </w:p>
    <w:p w14:paraId="72124445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12a) § 10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a)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330/2007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trestov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91/2016 Z. z. </w:t>
      </w:r>
    </w:p>
    <w:p w14:paraId="41D1EEDF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107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fungovaní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Európskej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(Ú. v. EÚ C 326, 26.10.2012),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nariadenie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Komisie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(EÚ) č. 651/2014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17.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júna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2014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vyhlásení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určitých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kategórií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pomoci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zlučiteľné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s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vnútorným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trhom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podľa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článkov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107 a 108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zmluvy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(Ú. v. EÚ L 187, 26.6.2014),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358/2015 Z. z.</w:t>
      </w:r>
    </w:p>
    <w:p w14:paraId="2DC5B8C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14) § 18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540/2001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štatistike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54D927E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16)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7/2005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konkurze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reštrukturalizácii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BF99F19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17) § 70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až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75a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Obchodného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zákonníka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12596C2F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233/1995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súdnych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exekútoroch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exekučnej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činnosti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Exekučný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a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ďalších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563/2009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daňový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a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B980259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82 /2005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nelegálnej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práci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nelegálnom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zamestnávaní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19EB77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19a) § 170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21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461/2003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sociálnom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221/2019 Z. z.</w:t>
      </w:r>
    </w:p>
    <w:p w14:paraId="20F06336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199/2004 Z. z.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Colný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11ADD71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§ 25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580/2004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zdravotnom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poistení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95/2002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poisťovníctve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221/2019 Z. z.</w:t>
      </w:r>
    </w:p>
    <w:p w14:paraId="3EAE1530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563/2009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376FA3CF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22) § 18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315/2016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 .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registri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partnerov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verejného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sektora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0EC2014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23) § 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91/2016 Z. z.</w:t>
      </w:r>
    </w:p>
    <w:p w14:paraId="0D977DFA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24) § 2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492/2009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platobných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službách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7C8AA14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25) § 2 ods.1, 5 a 8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483/2001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bankách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83174F8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26) § 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270/1995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jazyku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C610E4E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26a) § 19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523/2004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rozpočtových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pravidlách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 </w:t>
      </w:r>
    </w:p>
    <w:p w14:paraId="126EB9BB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27) § 2a ods.1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písm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m)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291/2002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pokladnici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CD7E3EB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28)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431/2002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414F95EC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29)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423/2015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štatutárnom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431/2002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účtovníctve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91/2016 Z. z.</w:t>
      </w:r>
    </w:p>
    <w:p w14:paraId="253759A0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30) § 23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431/2002 Z. z.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57760F43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31)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rady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39/1993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Najvyššom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úrade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Slovenskej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republiky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,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357/2015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finančnej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kontrole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audite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73469C2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31a) § 4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357/2015 Z. z. </w:t>
      </w:r>
    </w:p>
    <w:p w14:paraId="60CA314F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32)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122/2013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ochrane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osobných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údajov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</w:p>
    <w:p w14:paraId="47D28AE0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č. 84/2014 Z. z.</w:t>
      </w:r>
    </w:p>
    <w:p w14:paraId="732691C8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33)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71/1967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správnom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konaní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správny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poriadok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neskorších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predpisov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29B3A0C4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34) § 24 a 25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71/1967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Zb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527/2003 Z. z.</w:t>
      </w:r>
    </w:p>
    <w:p w14:paraId="6B2B4376" w14:textId="77777777" w:rsidR="00750551" w:rsidRPr="00750551" w:rsidRDefault="00750551" w:rsidP="00750551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 xml:space="preserve">35) §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ods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. 1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177/2018 Z. z.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opatreniach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na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znižovanie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administratívnej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záťaže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využívaním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informačných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systémov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verejnej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správy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gram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</w:t>
      </w:r>
      <w:proofErr w:type="gram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o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zmene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a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doplnení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niektorých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zákonov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(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proti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byrokracii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) v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znení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</w:t>
      </w:r>
      <w:proofErr w:type="spellStart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zákona</w:t>
      </w:r>
      <w:proofErr w:type="spellEnd"/>
      <w:r w:rsidRPr="00750551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č. 221/2019 Z. z.</w:t>
      </w:r>
    </w:p>
    <w:p w14:paraId="293CC2D1" w14:textId="77777777" w:rsidR="00750551" w:rsidRDefault="00750551"/>
    <w:sectPr w:rsidR="00750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51"/>
    <w:rsid w:val="00750551"/>
    <w:rsid w:val="008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5CE9"/>
  <w15:chartTrackingRefBased/>
  <w15:docId w15:val="{11C5A373-7DDD-9D4F-BEC6-6D24EC4E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50551"/>
    <w:rPr>
      <w:b/>
      <w:bCs/>
    </w:rPr>
  </w:style>
  <w:style w:type="character" w:customStyle="1" w:styleId="apple-converted-space">
    <w:name w:val="apple-converted-space"/>
    <w:basedOn w:val="Bekezdsalapbettpusa"/>
    <w:rsid w:val="0075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6636</Words>
  <Characters>46192</Characters>
  <Application>Microsoft Office Word</Application>
  <DocSecurity>0</DocSecurity>
  <Lines>669</Lines>
  <Paragraphs>97</Paragraphs>
  <ScaleCrop>false</ScaleCrop>
  <Company/>
  <LinksUpToDate>false</LinksUpToDate>
  <CharactersWithSpaces>52731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2021-06-10T08:24:00Z</dcterms:created>
  <dcterms:modified xsi:type="dcterms:W3CDTF">2021-06-10T08:33:00Z</dcterms:modified>
</cp:coreProperties>
</file>